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851" w:rsidRDefault="003A1851">
      <w:pPr>
        <w:spacing w:line="360" w:lineRule="auto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3A1851" w:rsidRDefault="000C74F1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ORIENTAÇÕES GERAIS </w:t>
      </w:r>
    </w:p>
    <w:p w:rsidR="003A1851" w:rsidRDefault="000C74F1">
      <w:pP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PARA ELABORAÇÃO DE INSTRUÇÕES TÉCNICAS</w:t>
      </w:r>
    </w:p>
    <w:p w:rsidR="003A1851" w:rsidRDefault="003A1851">
      <w:pPr>
        <w:tabs>
          <w:tab w:val="left" w:pos="284"/>
        </w:tabs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1.  Redação</w:t>
      </w: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As instruções técnicas devem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observar os seguintes requisitos: clareza, concisão, harmonia, impessoalidade e assertividade, conforme descritos a seguir, sem prejuízo de outros preceitos que porventura estejam contidos nas normas deste Tribunal.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Clareza: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consiste em produzir textos 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 fácil compreensão e abrange os aspectos visual e expositivo.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a) Para obter a 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>clareza visual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é necessário, basicamente: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a.1) estruturar o texto de maneira bem definida, utilizando, conforme a extensão e complexidade da matéria, itens e divisões que facilitem a visão geral das questões examinadas;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a.2) evitar sobrecarregar o texto com o uso exagerado dos recursos destinado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 ao destaque de termos e seções (caixa alta, negrito e sublinhado);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a.3) adotar espaçamentos e composições que contribuam para a distinção visual do conteúdo e das funções dos campos do documento;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a.4) adotar, sempre que necessário e útil para complem</w:t>
      </w:r>
      <w:r>
        <w:rPr>
          <w:rFonts w:ascii="Arial" w:eastAsia="Arial" w:hAnsi="Arial" w:cs="Arial"/>
          <w:color w:val="000000"/>
          <w:sz w:val="22"/>
          <w:szCs w:val="22"/>
        </w:rPr>
        <w:t>entar o conteúdo do texto, tabelas ou outros recursos visuais cuja composição gráfica facilite a compreensão dos dados e informações que serão apresentados, lembrando que a utilização de fotos e imagens deve ser feita com o cuidado de evitar o aumento desn</w:t>
      </w:r>
      <w:r>
        <w:rPr>
          <w:rFonts w:ascii="Arial" w:eastAsia="Arial" w:hAnsi="Arial" w:cs="Arial"/>
          <w:color w:val="000000"/>
          <w:sz w:val="22"/>
          <w:szCs w:val="22"/>
        </w:rPr>
        <w:t>ecessário do tamanho dos arquivos eletrônicos.</w:t>
      </w:r>
    </w:p>
    <w:p w:rsidR="003A1851" w:rsidRDefault="003A1851">
      <w:pPr>
        <w:tabs>
          <w:tab w:val="left" w:pos="284"/>
          <w:tab w:val="left" w:pos="567"/>
        </w:tabs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b) A 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>clareza expositiva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pode ser alcançada por meio da: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b.1) apresentação dos fatos, argumentos e conclusões em sequência lógica, de forma ordenada e objetiva, preferencialmente anunciando, no início da exposição, como o exame técnico será estruturado;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b.2) indicação das peças e respectivas páginas (</w:t>
      </w:r>
      <w:r>
        <w:rPr>
          <w:rFonts w:ascii="Arial" w:eastAsia="Arial" w:hAnsi="Arial" w:cs="Arial"/>
          <w:sz w:val="22"/>
          <w:szCs w:val="22"/>
        </w:rPr>
        <w:t>eventos e</w:t>
      </w:r>
      <w:r>
        <w:rPr>
          <w:rFonts w:ascii="Arial" w:eastAsia="Arial" w:hAnsi="Arial" w:cs="Arial"/>
          <w:sz w:val="22"/>
          <w:szCs w:val="22"/>
        </w:rPr>
        <w:t xml:space="preserve"> respectivas páginas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 onde se encontram as informações utilizadas ou referenciadas (provas documentais, comunicações processuais, documentos de defesa e outros elementos);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b.3) correção gramatical, utilização de períodos e parágrafos curtos, simplicidade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 construção de frases (sem intercalações desnecessárias de palavras ou orações) e emprego dos sinais de pontuação sem objetivo meramente estilístico;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b.4) precisão vocabular, privilegiando a utilização de palavras e expressões em seu sentido comum, se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m neologismo, regionalismo ou uso de jargões e termos ambíguos, com atenção especial ao correto emprego da terminologia de controle externo;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b.5) limitação do uso de expressões estrangeiras e em latim apenas às de uso comum e que contribuam para a concis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ão do texto, a exemplo de efeitos </w:t>
      </w:r>
      <w:r>
        <w:rPr>
          <w:rFonts w:ascii="Arial" w:eastAsia="Arial" w:hAnsi="Arial" w:cs="Arial"/>
          <w:i/>
          <w:color w:val="000000"/>
          <w:sz w:val="22"/>
          <w:szCs w:val="22"/>
        </w:rPr>
        <w:t>ex nunc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 </w:t>
      </w:r>
      <w:r>
        <w:rPr>
          <w:rFonts w:ascii="Arial" w:eastAsia="Arial" w:hAnsi="Arial" w:cs="Arial"/>
          <w:i/>
          <w:color w:val="000000"/>
          <w:sz w:val="22"/>
          <w:szCs w:val="22"/>
        </w:rPr>
        <w:t>ex tunc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b.6) restrição do uso de termos técnicos e expressões em outros idiomas, procurando, quando estes forem imprescindíveis, fornecer informações que evitem dúvidas;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b.7) omissão de informações desnecessárias, pois o excesso de detalhes pouco relevantes, além de colocar em risco a clareza do texto, demanda esforço adicional da supervisão. Por exemplo: a indicação do número e datas de expedientes deve ser feita, apenas,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quando essas informações forem necessárias à compreensão dos fatos ou à formação do entendimento pelos leitores.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Concisão: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é o requisito que diz respeito à transmissão de informações com o uso mínimo de palavras, sem a perda da qualidade da mensagem e sem prejuízo à abrangência das questões que devem ser examinadas. Requer economia linguística, o que não significa economia de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pensamento. Para redigir de forma concisa, cabe ao autor: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a) evitar adjetivações desnecessárias, rodeios, emprego de pleonasmos e repetições de relatos ou comentários;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b) evitar o uso desnecessário de transcrições, tendo em mente que esse recurso somente deve ser adotado quando for essencial à compreensão dos argumentos e ao entendimento do raciocínio desenvolvido no exame técnico;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c) lembrar que textos mais enxutos e </w:t>
      </w:r>
      <w:r>
        <w:rPr>
          <w:rFonts w:ascii="Arial" w:eastAsia="Arial" w:hAnsi="Arial" w:cs="Arial"/>
          <w:color w:val="000000"/>
          <w:sz w:val="22"/>
          <w:szCs w:val="22"/>
        </w:rPr>
        <w:t>claros tornam mais fácil a sua compreensão e refletem positivamente nas fases processuais seguintes e na celeridade do processo.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 harmonia do texto é o requisito que possibilita que a leitura se torne fluida e agradável. Assim, é importante: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a) primar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pela correção gramatical; </w:t>
      </w: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b) utilizar o mesmo tempo verbal ao longo do documento; </w:t>
      </w: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c) zelar pela coerência do texto, apresentando os fatos e argumentos de forma progressiva e ordenada e utilizando mecanismos de transição ou coesão textuais apropriados;</w:t>
      </w: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d)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atentar para o paralelismo, adotando a mesma forma gramatical para expor ideias similares ou para apresentar um elenco de constatações ou propostas; </w:t>
      </w: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e) evitar o uso de recursos estilísticos como a repetição do mesmo fonema, cacofonia, emprego excessivo do “que” e repetição exagerada de palavras.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Impessoalidade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>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tem por objetivo a apresentação do texto de forma equilibrada em termos de conteúdo e tom. </w:t>
      </w:r>
      <w:r>
        <w:rPr>
          <w:rFonts w:ascii="Arial" w:eastAsia="Arial" w:hAnsi="Arial" w:cs="Arial"/>
          <w:color w:val="000000"/>
          <w:sz w:val="22"/>
          <w:szCs w:val="22"/>
        </w:rPr>
        <w:t>Trata-se de uma característica própria dos documentos oficiais, notadamente daqueles de controle externo, uma vez que a função de textos dessa natureza é registrar o exame das questões de maneira técnica, devendo, da mesma forma, nesses textos, ser observa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da a esperada imparcialidade, evitando-se a utilização de termos que valorizem de forma subjetiva as questões tratadas.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lastRenderedPageBreak/>
        <w:t>Assertividade: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consiste em expor, com firmeza e convicção, de acordo com os elementos presentes no processo, a ocorrência, ou não, de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irregularidades, a sua gravidade, a responsabilidade dos envolvidos, o nexo de causalidade e as medidas que devem ser adotadas, sem utilizar expressões que denotem insegurança, como “smj” (salvo melhor juízo) ou “parece que”.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2. Estrutura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 estrutura do documento de instrução processual deve </w:t>
      </w:r>
      <w:r>
        <w:rPr>
          <w:rFonts w:ascii="Arial" w:eastAsia="Arial" w:hAnsi="Arial" w:cs="Arial"/>
          <w:sz w:val="22"/>
          <w:szCs w:val="22"/>
        </w:rPr>
        <w:t>conter a seguinte estrutura: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Ementa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As instruções técnicas devem possuir ementa. Em geral, é inserida automaticamente pelo sistema, com as informações cadastradas pelo Serviço de Protocolo, contemplan</w:t>
      </w:r>
      <w:r>
        <w:rPr>
          <w:rFonts w:ascii="Arial" w:eastAsia="Arial" w:hAnsi="Arial" w:cs="Arial"/>
          <w:sz w:val="22"/>
          <w:szCs w:val="22"/>
        </w:rPr>
        <w:t xml:space="preserve">do somente a descrição do processo. Entretanto, </w:t>
      </w:r>
      <w:r>
        <w:rPr>
          <w:rFonts w:ascii="Arial" w:eastAsia="Arial" w:hAnsi="Arial" w:cs="Arial"/>
          <w:b/>
          <w:sz w:val="22"/>
          <w:szCs w:val="22"/>
        </w:rPr>
        <w:t>a ementa deve ser redigida para cada documento</w:t>
      </w:r>
      <w:r>
        <w:rPr>
          <w:rFonts w:ascii="Arial" w:eastAsia="Arial" w:hAnsi="Arial" w:cs="Arial"/>
          <w:sz w:val="22"/>
          <w:szCs w:val="22"/>
        </w:rPr>
        <w:t xml:space="preserve">, contemplando, entre outros, a conclusão e o resumo da proposta de encaminhamento decorrente da análise realizada.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Assim, além de mencionar o número do processo e o resumo objeto, que são fornecidos automaticamente, o analista deve </w:t>
      </w:r>
      <w:r>
        <w:rPr>
          <w:rFonts w:ascii="Arial" w:eastAsia="Arial" w:hAnsi="Arial" w:cs="Arial"/>
          <w:b/>
          <w:sz w:val="22"/>
          <w:szCs w:val="22"/>
        </w:rPr>
        <w:t>revisar a ementa adicionando outros elementos identificadores</w:t>
      </w:r>
      <w:r>
        <w:rPr>
          <w:rFonts w:ascii="Arial" w:eastAsia="Arial" w:hAnsi="Arial" w:cs="Arial"/>
          <w:sz w:val="22"/>
          <w:szCs w:val="22"/>
        </w:rPr>
        <w:t xml:space="preserve"> que possam contribuir para uma rápida visão geral do processo e para a compre</w:t>
      </w:r>
      <w:r>
        <w:rPr>
          <w:rFonts w:ascii="Arial" w:eastAsia="Arial" w:hAnsi="Arial" w:cs="Arial"/>
          <w:sz w:val="22"/>
          <w:szCs w:val="22"/>
        </w:rPr>
        <w:t>ensão de suas principais características e estágio atual.</w:t>
      </w:r>
    </w:p>
    <w:p w:rsidR="003A1851" w:rsidRDefault="003A1851">
      <w:pPr>
        <w:tabs>
          <w:tab w:val="left" w:pos="284"/>
        </w:tabs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613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3"/>
      </w:tblGrid>
      <w:tr w:rsidR="003A1851">
        <w:trPr>
          <w:trHeight w:val="1208"/>
        </w:trPr>
        <w:tc>
          <w:tcPr>
            <w:tcW w:w="0" w:type="auto"/>
            <w:shd w:val="clear" w:color="auto" w:fill="D9D9D9"/>
          </w:tcPr>
          <w:p w:rsidR="003A1851" w:rsidRDefault="000C74F1">
            <w:pPr>
              <w:tabs>
                <w:tab w:val="left" w:pos="284"/>
              </w:tabs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Exemplo:</w:t>
            </w:r>
          </w:p>
          <w:p w:rsidR="003A1851" w:rsidRDefault="003A1851">
            <w:pPr>
              <w:tabs>
                <w:tab w:val="left" w:pos="284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tabs>
                <w:tab w:val="left" w:pos="284"/>
              </w:tabs>
              <w:ind w:left="4110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Processo nº xxxxx que trata Representação de XYZ acerca de suposta irregularidade em adesões à ata de registro de preço. Prazo para manifestação dos jurisdicionados. Encaminhamento dos es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clarecimentos. Pedidos de prorrogação de prazo formulados por Z. Deferimento. </w:t>
            </w:r>
          </w:p>
          <w:p w:rsidR="003A1851" w:rsidRDefault="003A1851">
            <w:pPr>
              <w:tabs>
                <w:tab w:val="left" w:pos="284"/>
              </w:tabs>
              <w:ind w:left="4110"/>
              <w:jc w:val="both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3A1851" w:rsidRDefault="003A1851">
      <w:pPr>
        <w:tabs>
          <w:tab w:val="left" w:pos="284"/>
        </w:tabs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Introdução: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>presenta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informações gerais sobre o processo em exame, objeto, órgão/entidade ou agente responsável envolvido, assunto, valores e outros elementos que identifiquem a matéria em </w:t>
      </w:r>
      <w:r>
        <w:rPr>
          <w:rFonts w:ascii="Arial" w:eastAsia="Arial" w:hAnsi="Arial" w:cs="Arial"/>
          <w:sz w:val="22"/>
          <w:szCs w:val="22"/>
        </w:rPr>
        <w:t>análise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.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8613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3"/>
      </w:tblGrid>
      <w:tr w:rsidR="003A1851">
        <w:trPr>
          <w:trHeight w:val="1208"/>
        </w:trPr>
        <w:tc>
          <w:tcPr>
            <w:tcW w:w="0" w:type="auto"/>
            <w:shd w:val="clear" w:color="auto" w:fill="D9D9D9"/>
          </w:tcPr>
          <w:p w:rsidR="003A1851" w:rsidRDefault="000C7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Exemplo:</w:t>
            </w:r>
          </w:p>
          <w:p w:rsidR="003A1851" w:rsidRDefault="003A1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A1851" w:rsidRDefault="000C7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Tratam os autos do relatório de Inspeção nº xxx/20</w:t>
            </w:r>
            <w:r>
              <w:rPr>
                <w:rFonts w:ascii="Arial" w:eastAsia="Arial" w:hAnsi="Arial" w:cs="Arial"/>
                <w:sz w:val="22"/>
                <w:szCs w:val="22"/>
              </w:rPr>
              <w:t>24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 de 23 de mar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ço de 20</w:t>
            </w:r>
            <w:r>
              <w:rPr>
                <w:rFonts w:ascii="Arial" w:eastAsia="Arial" w:hAnsi="Arial" w:cs="Arial"/>
                <w:sz w:val="22"/>
                <w:szCs w:val="22"/>
              </w:rPr>
              <w:t>24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 cujo objeto é a análise das demonstrações contábeis da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COMPANHIA X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referente aos exercícios de </w:t>
            </w:r>
            <w:r>
              <w:rPr>
                <w:rFonts w:ascii="Arial" w:eastAsia="Arial" w:hAnsi="Arial" w:cs="Arial"/>
                <w:sz w:val="22"/>
                <w:szCs w:val="22"/>
              </w:rPr>
              <w:t>2020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 20</w:t>
            </w:r>
            <w:r>
              <w:rPr>
                <w:rFonts w:ascii="Arial" w:eastAsia="Arial" w:hAnsi="Arial" w:cs="Arial"/>
                <w:sz w:val="22"/>
                <w:szCs w:val="22"/>
              </w:rPr>
              <w:t>23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tendo como objetivo verificar quais foram os principais fatores que influenciaram o desequilíbrio econômico-financeiro da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COMPANHIA X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sua real situação patrimonial.</w:t>
            </w:r>
          </w:p>
          <w:p w:rsidR="003A1851" w:rsidRDefault="003A1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Histórico: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Esta seção </w:t>
      </w:r>
      <w:r>
        <w:rPr>
          <w:rFonts w:ascii="Arial" w:eastAsia="Arial" w:hAnsi="Arial" w:cs="Arial"/>
          <w:color w:val="000000"/>
          <w:sz w:val="22"/>
          <w:szCs w:val="22"/>
        </w:rPr>
        <w:t>é destinad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ao registro de informações que contribuem efetivamente para a perfeita compreensão das questões discutidas nos autos, como por exemplo: instruções anteriores, fatos processuais relevantes, outros processos instaurados devido ao mesmo fato gerador. Em caso</w:t>
      </w:r>
      <w:r>
        <w:rPr>
          <w:rFonts w:ascii="Arial" w:eastAsia="Arial" w:hAnsi="Arial" w:cs="Arial"/>
          <w:color w:val="000000"/>
          <w:sz w:val="22"/>
          <w:szCs w:val="22"/>
        </w:rPr>
        <w:t>s assim, uma breve síntese de elementos ou dos principais fatos possibilita uma visão mais ampla dos autos, o que dá mais clareza ao documento.</w:t>
      </w:r>
    </w:p>
    <w:p w:rsidR="003A1851" w:rsidRDefault="003A1851">
      <w:pPr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Deve-se lembrar que o histórico aproxima-se de um resumo, não sendo cabível a mera cópia ou repetição  de infor</w:t>
      </w:r>
      <w:r>
        <w:rPr>
          <w:rFonts w:ascii="Arial" w:eastAsia="Arial" w:hAnsi="Arial" w:cs="Arial"/>
          <w:sz w:val="22"/>
          <w:szCs w:val="22"/>
        </w:rPr>
        <w:t>mações anteriores, devendo-se evitar a transcrição de trechos de peças processuais ou mesmo do acórdão. As informações devem ser sintetizadas sem prejuízo da perfeita identificação dos fatos.</w:t>
      </w:r>
    </w:p>
    <w:p w:rsidR="003A1851" w:rsidRDefault="003A1851">
      <w:pPr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tabs>
          <w:tab w:val="left" w:pos="284"/>
        </w:tabs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Ao iniciar a análise de um processo, é fundamental ter clareza </w:t>
      </w:r>
      <w:r>
        <w:rPr>
          <w:rFonts w:ascii="Arial" w:eastAsia="Arial" w:hAnsi="Arial" w:cs="Arial"/>
          <w:sz w:val="22"/>
          <w:szCs w:val="22"/>
        </w:rPr>
        <w:t>sobre as providências a serem adotadas. Para isso, deve-se verificar o que o Despacho de encaminhamento do Relator ou quaisquer outras instâncias determinam, observando se existe alguma medida a ser adotada para abreviar ou facilitar o cumprimento da deter</w:t>
      </w:r>
      <w:r>
        <w:rPr>
          <w:rFonts w:ascii="Arial" w:eastAsia="Arial" w:hAnsi="Arial" w:cs="Arial"/>
          <w:sz w:val="22"/>
          <w:szCs w:val="22"/>
        </w:rPr>
        <w:t>minação; se algo deve ser feito antes da instrução processual (inspeção, requisição de documento, pesquisa de processo correlato, etc).</w:t>
      </w:r>
    </w:p>
    <w:p w:rsidR="003A1851" w:rsidRDefault="003A1851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8613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3"/>
      </w:tblGrid>
      <w:tr w:rsidR="003A1851">
        <w:tc>
          <w:tcPr>
            <w:tcW w:w="0" w:type="auto"/>
            <w:shd w:val="clear" w:color="auto" w:fill="D9D9D9"/>
          </w:tcPr>
          <w:p w:rsidR="003A1851" w:rsidRDefault="000C74F1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Exemplo:</w:t>
            </w:r>
          </w:p>
          <w:p w:rsidR="003A1851" w:rsidRDefault="003A1851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Expedido o Relatório de Inspeção nº 006/2009, por meio do Despacho nº 0032 2º DF/2009, de 25 de março de 2009, evento XX, p. xx, a Segunda Divisão de Fiscalização encaminhou os autos ao Gabinete do Conselheiro Relator XXXX para deliberação.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Acatando a sug</w:t>
            </w:r>
            <w:r>
              <w:rPr>
                <w:rFonts w:ascii="Arial" w:eastAsia="Arial" w:hAnsi="Arial" w:cs="Arial"/>
                <w:sz w:val="22"/>
                <w:szCs w:val="22"/>
              </w:rPr>
              <w:t>estão da unidade técnica, o Relator, por meio do Despacho, nº XXX, evento XX, p. xx, determinou a citação dos responsáveis elencados no Relatório de Inspeção, para que apresentassem suas razões de justificativa.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As citações foram efetivadas, conforme ofíc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ios anexados no evento XX, p. xx e, a seguir, por intermédio do Despacho nº XXX (evento XX, p. xx) os autos foram reenviados ao Gabinete do Relator com as defesas e documentações protocoladas tempestivamente (evento XX, p. xx). 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Nas peças juntadas, o juri</w:t>
            </w:r>
            <w:r>
              <w:rPr>
                <w:rFonts w:ascii="Arial" w:eastAsia="Arial" w:hAnsi="Arial" w:cs="Arial"/>
                <w:sz w:val="22"/>
                <w:szCs w:val="22"/>
              </w:rPr>
              <w:t>sdicionado informou &lt;descrição dos fatos narrados, argumentos jurídicos, etc&gt;, conforme evento XX, p. X-X.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Visando dar cumprimento à determinação do Relator, proferida no Despacho nº XXX (evento XX, p. xx), os autos foram enviados à Gerência de Fiscalizaç</w:t>
            </w:r>
            <w:r>
              <w:rPr>
                <w:rFonts w:ascii="Arial" w:eastAsia="Arial" w:hAnsi="Arial" w:cs="Arial"/>
                <w:sz w:val="22"/>
                <w:szCs w:val="22"/>
              </w:rPr>
              <w:t>ão, para manifestação conclusiva.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3A1851" w:rsidRDefault="003A1851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3A1851" w:rsidRDefault="003A1851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3A1851" w:rsidRDefault="000C74F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Exame de admissibilidade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 xml:space="preserve">Destinado à análise da possibilidade jurídica de recebimento de petição ou expediente dirigido ao Tribunal, de acordo com os requisitos específicos alusivos à matéria. Deve fornecer, de forma </w:t>
      </w:r>
      <w:r>
        <w:rPr>
          <w:rFonts w:ascii="Arial" w:eastAsia="Arial" w:hAnsi="Arial" w:cs="Arial"/>
          <w:sz w:val="22"/>
          <w:szCs w:val="22"/>
        </w:rPr>
        <w:t>clara e objetiva, subsídios que possibilitem a manifestação do relator e/ou do colegiado quanto ao conhecimento da peça.</w:t>
      </w:r>
    </w:p>
    <w:p w:rsidR="003A1851" w:rsidRDefault="003A1851">
      <w:pPr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referida análise se aplica especialmente aos seguintes casos, de acordo com os normativos indicados abaixo: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Denúncia: art. 87 e 88 – LOTCE</w:t>
      </w:r>
    </w:p>
    <w:p w:rsidR="003A1851" w:rsidRDefault="000C74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Representação: art. 91  - LOTCE </w:t>
      </w:r>
    </w:p>
    <w:p w:rsidR="003A1851" w:rsidRDefault="000C74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Consultas: art. 108 e 109 – LOTCE</w:t>
      </w:r>
    </w:p>
    <w:p w:rsidR="003A1851" w:rsidRDefault="000C74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Recursos: art. 331 – RITCE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FF0000"/>
          <w:sz w:val="22"/>
          <w:szCs w:val="22"/>
          <w:highlight w:val="lightGray"/>
        </w:rPr>
      </w:pPr>
    </w:p>
    <w:tbl>
      <w:tblPr>
        <w:tblStyle w:val="a2"/>
        <w:tblW w:w="8613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3"/>
      </w:tblGrid>
      <w:tr w:rsidR="003A1851">
        <w:tc>
          <w:tcPr>
            <w:tcW w:w="0" w:type="auto"/>
            <w:shd w:val="clear" w:color="auto" w:fill="D9D9D9"/>
          </w:tcPr>
          <w:p w:rsidR="003A1851" w:rsidRDefault="000C74F1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Exemplo: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Inicialmente, registr</w:t>
            </w:r>
            <w:r>
              <w:rPr>
                <w:rFonts w:ascii="Arial" w:eastAsia="Arial" w:hAnsi="Arial" w:cs="Arial"/>
                <w:sz w:val="22"/>
                <w:szCs w:val="22"/>
              </w:rPr>
              <w:t>a-se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que a representação preenche os requisitos de admissibilidade constantes no art. 91 da Lei Orgânica do Tribunal, haja vista a matéria ser de competência do TCE-GO, referir-se a administrador sujeito à sua jurisdição, estar redigida em linguagem clara, obj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etiva e com a qualificação do representante, bem como encontrar-se acompanhada de documentação relativa ao fato denunciado. 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Exame técnico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é o trecho da instrução que deve conter a exposição detalhada da fundamentação e da análise técnica realizada. D</w:t>
      </w:r>
      <w:r>
        <w:rPr>
          <w:rFonts w:ascii="Arial" w:eastAsia="Arial" w:hAnsi="Arial" w:cs="Arial"/>
          <w:sz w:val="22"/>
          <w:szCs w:val="22"/>
        </w:rPr>
        <w:t>eve ser claro, objetivo e baseado em normas, regulamentações e boas práticas aplicáveis. Também deve fornecer a base teórica e técnica que justifica a ação de controle, apontando as irregularidades detectadas e os parâmetros que foram utilizados para a aná</w:t>
      </w:r>
      <w:r>
        <w:rPr>
          <w:rFonts w:ascii="Arial" w:eastAsia="Arial" w:hAnsi="Arial" w:cs="Arial"/>
          <w:sz w:val="22"/>
          <w:szCs w:val="22"/>
        </w:rPr>
        <w:t>lise.</w:t>
      </w:r>
    </w:p>
    <w:p w:rsidR="003A1851" w:rsidRDefault="003A1851">
      <w:pPr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exame técnico deve descrever, sempre que couber:</w:t>
      </w:r>
    </w:p>
    <w:p w:rsidR="003A1851" w:rsidRDefault="000C74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situação encontrada (achado de auditoria/irregularidades);</w:t>
      </w:r>
    </w:p>
    <w:p w:rsidR="003A1851" w:rsidRDefault="000C74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indicação dos responsáveis que deram causa à irregularidade;</w:t>
      </w:r>
    </w:p>
    <w:p w:rsidR="003A1851" w:rsidRDefault="000C74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síntese das razões de justificativa ou alegações de defesa apresentadas pelo responsável citado;</w:t>
      </w:r>
    </w:p>
    <w:p w:rsidR="003A1851" w:rsidRDefault="000C74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análise das razões de justificativa ou alegações de defesa apresentadas pelo responsável citado, com a devida fundamentação e conclusão pela aceitação ou r</w:t>
      </w:r>
      <w:r>
        <w:rPr>
          <w:rFonts w:ascii="Arial" w:eastAsia="Arial" w:hAnsi="Arial" w:cs="Arial"/>
          <w:color w:val="000000"/>
          <w:sz w:val="22"/>
          <w:szCs w:val="22"/>
        </w:rPr>
        <w:t>ejeição das mesmas;</w:t>
      </w:r>
    </w:p>
    <w:p w:rsidR="003A1851" w:rsidRDefault="000C74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As sanções cabíveis para as irregularidades praticadas, quando for o caso.</w:t>
      </w:r>
    </w:p>
    <w:p w:rsidR="003A1851" w:rsidRDefault="000C74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No caso de responsável revel, a instrução deve ainda abordar as seguintes situações:</w:t>
      </w:r>
    </w:p>
    <w:p w:rsidR="003A1851" w:rsidRDefault="003A1851">
      <w:pPr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f.1) o registro de que a comunicação foi entregue ao destinatário ou que foram esgotadas as medidas com vistas à localização do responsável antes do chamamento por edital;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A1851" w:rsidRDefault="000C74F1">
      <w:pPr>
        <w:ind w:left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f.2) o exame com base nos demais elementos contidos nos autos; </w:t>
      </w:r>
    </w:p>
    <w:p w:rsidR="003A1851" w:rsidRDefault="003A1851">
      <w:pPr>
        <w:ind w:left="709"/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ind w:left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f.3) a indicação </w:t>
      </w:r>
      <w:r>
        <w:rPr>
          <w:rFonts w:ascii="Arial" w:eastAsia="Arial" w:hAnsi="Arial" w:cs="Arial"/>
          <w:sz w:val="22"/>
          <w:szCs w:val="22"/>
        </w:rPr>
        <w:t>sobre se a conduta dos agentes envolvidos dá ensejo à irregularidade das contas, à imputação de débito e/ou à aplicação de outras sanções.</w:t>
      </w:r>
    </w:p>
    <w:p w:rsidR="003A1851" w:rsidRDefault="003A1851">
      <w:pPr>
        <w:ind w:left="709"/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3A1851">
      <w:pPr>
        <w:ind w:left="709"/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3A1851">
      <w:pPr>
        <w:ind w:left="709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8613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3"/>
      </w:tblGrid>
      <w:tr w:rsidR="003A1851">
        <w:tc>
          <w:tcPr>
            <w:tcW w:w="0" w:type="auto"/>
            <w:shd w:val="clear" w:color="auto" w:fill="D9D9D9"/>
          </w:tcPr>
          <w:p w:rsidR="003A1851" w:rsidRDefault="000C74F1">
            <w:pPr>
              <w:shd w:val="clear" w:color="auto" w:fill="D9D9D9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Exemplo:</w:t>
            </w:r>
          </w:p>
          <w:p w:rsidR="003A1851" w:rsidRDefault="000C74F1">
            <w:pPr>
              <w:shd w:val="clear" w:color="auto" w:fill="D9D9D9"/>
              <w:spacing w:before="24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Da leitura dos argumentos apresentados pelo jurisdicionado, depreende-se que o elemento que enseja a análise técnica desta Unidade é se houve a adoção ou não de providências para o cumprimento do Acórdão nº xxxx, relativo ao vínculo da servidora cedida. </w:t>
            </w:r>
          </w:p>
          <w:p w:rsidR="003A1851" w:rsidRDefault="000C74F1">
            <w:pPr>
              <w:shd w:val="clear" w:color="auto" w:fill="D9D9D9"/>
              <w:spacing w:before="24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interpretação do conceito do instituto da cessão, conforme estabelecido pelo art. 71 da Lei Estadual nº 20.756/2020: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</w:p>
          <w:p w:rsidR="003A1851" w:rsidRDefault="000C74F1">
            <w:pPr>
              <w:shd w:val="clear" w:color="auto" w:fill="D9D9D9"/>
              <w:spacing w:line="276" w:lineRule="auto"/>
              <w:ind w:left="22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Art. 71. Cessão é a </w:t>
            </w:r>
            <w:r>
              <w:rPr>
                <w:rFonts w:ascii="Arial" w:eastAsia="Arial" w:hAnsi="Arial" w:cs="Arial"/>
                <w:b/>
              </w:rPr>
              <w:t>transferência temporária de exercício</w:t>
            </w:r>
            <w:r>
              <w:rPr>
                <w:rFonts w:ascii="Arial" w:eastAsia="Arial" w:hAnsi="Arial" w:cs="Arial"/>
              </w:rPr>
              <w:t xml:space="preserve"> do servidor para órgão ou entidade que não integre o Poder Executivo estadual, </w:t>
            </w:r>
            <w:r>
              <w:rPr>
                <w:rFonts w:ascii="Arial" w:eastAsia="Arial" w:hAnsi="Arial" w:cs="Arial"/>
              </w:rPr>
              <w:t>inclusive para os Poderes da União, do Estado de Goiás ou de outros estados, do Distrito Federal ou dos municípios, para órgãos constitucionais autônomos, para consórcio público do qual o Estado de Goiás faça parte, ou ainda para entidades e organizações s</w:t>
            </w:r>
            <w:r>
              <w:rPr>
                <w:rFonts w:ascii="Arial" w:eastAsia="Arial" w:hAnsi="Arial" w:cs="Arial"/>
              </w:rPr>
              <w:t>ociais, e poderá ocorrer nas seguintes hipóteses:</w:t>
            </w:r>
          </w:p>
          <w:p w:rsidR="003A1851" w:rsidRDefault="000C74F1">
            <w:pPr>
              <w:shd w:val="clear" w:color="auto" w:fill="D9D9D9"/>
              <w:spacing w:line="276" w:lineRule="auto"/>
              <w:ind w:left="22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 - para exercício de cargo em comissão;  </w:t>
            </w:r>
          </w:p>
          <w:p w:rsidR="003A1851" w:rsidRDefault="000C74F1">
            <w:pPr>
              <w:shd w:val="clear" w:color="auto" w:fill="D9D9D9"/>
              <w:spacing w:line="276" w:lineRule="auto"/>
              <w:ind w:left="22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(grifo nosso)</w:t>
            </w:r>
          </w:p>
          <w:p w:rsidR="003A1851" w:rsidRDefault="000C74F1">
            <w:pPr>
              <w:shd w:val="clear" w:color="auto" w:fill="D9D9D9"/>
              <w:spacing w:before="24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 cessão não se confunde com os casos de licenças de servidores em um dos cargos, pois neste último caso existem, efetivamente, dois vínculos funcion</w:t>
            </w:r>
            <w:r>
              <w:rPr>
                <w:rFonts w:ascii="Arial" w:eastAsia="Arial" w:hAnsi="Arial" w:cs="Arial"/>
                <w:sz w:val="22"/>
                <w:szCs w:val="22"/>
              </w:rPr>
              <w:t>ais distintos, ainda que o servidor esteja afastado do exercício de um deles, e, por isso, continuam aplicáveis as regras para acumulação de cargos públicos estabelecidas pelo art. 37 e seus incisos e parágrafos da Constituição Federal.</w:t>
            </w:r>
          </w:p>
          <w:p w:rsidR="003A1851" w:rsidRDefault="000C74F1">
            <w:pPr>
              <w:shd w:val="clear" w:color="auto" w:fill="D9D9D9"/>
              <w:spacing w:before="24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Com relação às prov</w:t>
            </w:r>
            <w:r>
              <w:rPr>
                <w:rFonts w:ascii="Arial" w:eastAsia="Arial" w:hAnsi="Arial" w:cs="Arial"/>
                <w:sz w:val="22"/>
                <w:szCs w:val="22"/>
              </w:rPr>
              <w:t>idências, entende-se que a gestora comprovou ter adotado o procedimento legal estabelecido pelo art. 205, § 6º, 7º e 8º da Lei Estadual nº 20.756/2020, uma vez que instaurou o processo administrativo disciplinar conforme todos os trâmites legais estabeleci</w:t>
            </w:r>
            <w:r>
              <w:rPr>
                <w:rFonts w:ascii="Arial" w:eastAsia="Arial" w:hAnsi="Arial" w:cs="Arial"/>
                <w:sz w:val="22"/>
                <w:szCs w:val="22"/>
              </w:rPr>
              <w:t>dos.</w:t>
            </w:r>
          </w:p>
          <w:p w:rsidR="003A1851" w:rsidRDefault="000C74F1">
            <w:pPr>
              <w:shd w:val="clear" w:color="auto" w:fill="D9D9D9"/>
              <w:spacing w:before="24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Além disso, baseou sua decisão em posicionamento jurídico firmado pela Procuradoria Geral do Estado, a qual concluiu pela legalidade da acumulação. Tendo em vista não ser competência desta Corte de Contas rever a decisão disciplinar tomada, entende-se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que a análise de mérito da decisão tomada só poderia ser realizada em caso de dolo ou erro grosseiro passível de responsabilização da gestora por aplicação do art. 28 da LINDB, o que não foi o caso nos presentes autos.</w:t>
            </w:r>
          </w:p>
          <w:p w:rsidR="003A1851" w:rsidRDefault="000C74F1">
            <w:pPr>
              <w:shd w:val="clear" w:color="auto" w:fill="D9D9D9"/>
              <w:spacing w:before="24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Assim sendo, esta Unidade Técnica po</w:t>
            </w:r>
            <w:r>
              <w:rPr>
                <w:rFonts w:ascii="Arial" w:eastAsia="Arial" w:hAnsi="Arial" w:cs="Arial"/>
                <w:sz w:val="22"/>
                <w:szCs w:val="22"/>
              </w:rPr>
              <w:t>siciona-se no sentido da legalidade e legitimidade dos atos de gestão adotados.</w:t>
            </w:r>
          </w:p>
          <w:p w:rsidR="003A1851" w:rsidRDefault="000C74F1">
            <w:pPr>
              <w:shd w:val="clear" w:color="auto" w:fill="D9D9D9"/>
              <w:spacing w:before="24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 análise dos documentos colacionados nos eventos x a xx, constata-se que têm sido adotadas pelo jurisdicionado providências para a devida apuração e saneamento dos indícios e</w:t>
            </w:r>
            <w:r>
              <w:rPr>
                <w:rFonts w:ascii="Arial" w:eastAsia="Arial" w:hAnsi="Arial" w:cs="Arial"/>
                <w:sz w:val="22"/>
                <w:szCs w:val="22"/>
              </w:rPr>
              <w:t>ncaminhados por meio do sistema informatizado, uma vez que instaurou-se processos administrativos para correção das irregularidades.</w:t>
            </w:r>
          </w:p>
          <w:p w:rsidR="003A1851" w:rsidRDefault="000C74F1">
            <w:pPr>
              <w:shd w:val="clear" w:color="auto" w:fill="D9D9D9"/>
              <w:spacing w:before="24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Ademais, em consulta ao sistema informatizado, verificou-se que todos os indícios encaminhados para novos esclarecimentos d</w:t>
            </w:r>
            <w:r>
              <w:rPr>
                <w:rFonts w:ascii="Arial" w:eastAsia="Arial" w:hAnsi="Arial" w:cs="Arial"/>
                <w:sz w:val="22"/>
                <w:szCs w:val="22"/>
              </w:rPr>
              <w:t>o jurisdicionado foram devolvidos para a análise interna desta Unidade Técnica, o que atesta que a decisão está sendo cumprida.</w:t>
            </w:r>
          </w:p>
          <w:p w:rsidR="003A1851" w:rsidRDefault="000C74F1">
            <w:pPr>
              <w:shd w:val="clear" w:color="auto" w:fill="D9D9D9"/>
              <w:spacing w:before="24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Por fim, ressalta-se que a análise pormenorizada dos indícios para verificar se as providências adotadas já foram suficientes pa</w:t>
            </w:r>
            <w:r>
              <w:rPr>
                <w:rFonts w:ascii="Arial" w:eastAsia="Arial" w:hAnsi="Arial" w:cs="Arial"/>
                <w:sz w:val="22"/>
                <w:szCs w:val="22"/>
              </w:rPr>
              <w:t>ra o cumprimento integral da decisão se dará no âmbito do monitoramento do processo nº xxxx.</w:t>
            </w:r>
          </w:p>
          <w:p w:rsidR="003A1851" w:rsidRDefault="003A1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Não obstante, pela documentação juntada a estes autos e pelos esclarecimentos devolvidos para esta Unidade Técnica no âmbito do sistema informatizado é possível afirmar que o jurisdicionado está adotando as providências para o devido cumprimento do Acórdão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nº xxxx.</w:t>
            </w:r>
          </w:p>
        </w:tc>
      </w:tr>
    </w:tbl>
    <w:p w:rsidR="003A1851" w:rsidRDefault="003A1851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Conclusão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color w:val="000000"/>
          <w:sz w:val="22"/>
          <w:szCs w:val="22"/>
        </w:rPr>
        <w:t>conclusão destina</w:t>
      </w:r>
      <w:r>
        <w:rPr>
          <w:rFonts w:ascii="Arial" w:eastAsia="Arial" w:hAnsi="Arial" w:cs="Arial"/>
          <w:sz w:val="22"/>
          <w:szCs w:val="22"/>
        </w:rPr>
        <w:t>-se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 registrar a síntese da análise realizada e de seu fundamento</w:t>
      </w:r>
      <w:r>
        <w:rPr>
          <w:rFonts w:ascii="Arial" w:eastAsia="Arial" w:hAnsi="Arial" w:cs="Arial"/>
          <w:sz w:val="22"/>
          <w:szCs w:val="22"/>
        </w:rPr>
        <w:t>, e</w:t>
      </w:r>
      <w:r>
        <w:rPr>
          <w:rFonts w:ascii="Arial" w:eastAsia="Arial" w:hAnsi="Arial" w:cs="Arial"/>
          <w:color w:val="000000"/>
          <w:sz w:val="22"/>
          <w:szCs w:val="22"/>
        </w:rPr>
        <w:t>specialmente nas instruções mais longas ou que abordam grande variedade de temas e de agentes envolvidos</w:t>
      </w:r>
      <w:r>
        <w:rPr>
          <w:rFonts w:ascii="Arial" w:eastAsia="Arial" w:hAnsi="Arial" w:cs="Arial"/>
          <w:sz w:val="22"/>
          <w:szCs w:val="22"/>
        </w:rPr>
        <w:t>.</w:t>
      </w:r>
    </w:p>
    <w:p w:rsidR="003A1851" w:rsidRDefault="000C74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Assim, esse tópico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tem a função de destacar as questões que deverão ser consideradas na elaboração da proposta de encaminhamento. 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tabs>
          <w:tab w:val="left" w:pos="1134"/>
        </w:tabs>
        <w:ind w:right="-3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Este tópico pode ser dispensado ao final do exame técnico, caso analista e chefe entendam que não é necessário um item específico para resumir as conclusões. Por exemplo: Instruções mais curtas, diligências, análises com um único item/questão/pedido, etc.</w:t>
      </w:r>
    </w:p>
    <w:p w:rsidR="003A1851" w:rsidRDefault="003A18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Style w:val="a4"/>
        <w:tblW w:w="8613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3"/>
      </w:tblGrid>
      <w:tr w:rsidR="003A1851">
        <w:trPr>
          <w:trHeight w:val="4337"/>
        </w:trPr>
        <w:tc>
          <w:tcPr>
            <w:tcW w:w="0" w:type="auto"/>
            <w:shd w:val="clear" w:color="auto" w:fill="D9D9D9"/>
          </w:tcPr>
          <w:p w:rsidR="003A1851" w:rsidRDefault="000C74F1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Exemplo: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Após análises das justificativas trazidas aos autos pelos responsáveis devidamente citados, foram consideradas na análise técnica as argumentações/justificativas apresentadas.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Como asseverou o jurisdicionado, esta Corte de Contas determinou ao </w:t>
            </w:r>
            <w:r>
              <w:rPr>
                <w:rFonts w:ascii="Arial" w:eastAsia="Arial" w:hAnsi="Arial" w:cs="Arial"/>
                <w:sz w:val="22"/>
                <w:szCs w:val="22"/>
              </w:rPr>
              <w:t>Estado de Goiás a adoção de medidas para resolver os problemas atinentes ao elevado gasto com o objeto em análise. Logo, entender de modo diverso atenta contra o próprio entendimento adotado por este Tribunal de Contas, bem como contra a própria finalidade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da Lei Estadual nº xxxxx.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Assim sendo, esta Unidade Técnica corrobora as justificativas trazidas pelo jurisdicionado e entende que ocorreu a perda do objeto dos presentes autos, uma vez que não mais subsiste a obrigatoriedade para a realização de concurs</w:t>
            </w:r>
            <w:r>
              <w:rPr>
                <w:rFonts w:ascii="Arial" w:eastAsia="Arial" w:hAnsi="Arial" w:cs="Arial"/>
                <w:sz w:val="22"/>
                <w:szCs w:val="22"/>
              </w:rPr>
              <w:t>o público para a contratação de pessoal prevista pelo art. 37, II, da Constituição Federal em decorrência da mudança da situação fática narrada.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3A1851" w:rsidRDefault="003A1851">
      <w:pPr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3A1851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3A1851" w:rsidRDefault="000C74F1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Proposta(s) de encaminhamento: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 propostas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de e</w:t>
      </w:r>
      <w:r>
        <w:rPr>
          <w:rFonts w:ascii="Arial" w:eastAsia="Arial" w:hAnsi="Arial" w:cs="Arial"/>
          <w:sz w:val="22"/>
          <w:szCs w:val="22"/>
        </w:rPr>
        <w:t xml:space="preserve">ncaminhamento devem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contemplar sugestões de providências que </w:t>
      </w:r>
      <w:r>
        <w:rPr>
          <w:rFonts w:ascii="Arial" w:eastAsia="Arial" w:hAnsi="Arial" w:cs="Arial"/>
          <w:sz w:val="22"/>
          <w:szCs w:val="22"/>
        </w:rPr>
        <w:t xml:space="preserve">necessitam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ser adotadas à vista dos elementos contidos nos autos e da análise empreendida.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evem ser compatíveis com as análises realizadas no “Exame Técnico” e com as “Conclusões” formuladas. </w:t>
      </w:r>
      <w:r>
        <w:rPr>
          <w:rFonts w:ascii="Arial" w:eastAsia="Arial" w:hAnsi="Arial" w:cs="Arial"/>
          <w:sz w:val="22"/>
          <w:szCs w:val="22"/>
        </w:rPr>
        <w:t xml:space="preserve">Se acolhidas, </w:t>
      </w:r>
      <w:r>
        <w:rPr>
          <w:rFonts w:ascii="Arial" w:eastAsia="Arial" w:hAnsi="Arial" w:cs="Arial"/>
          <w:color w:val="000000"/>
          <w:sz w:val="22"/>
          <w:szCs w:val="22"/>
        </w:rPr>
        <w:t>as propo</w:t>
      </w:r>
      <w:r>
        <w:rPr>
          <w:rFonts w:ascii="Arial" w:eastAsia="Arial" w:hAnsi="Arial" w:cs="Arial"/>
          <w:color w:val="000000"/>
          <w:sz w:val="22"/>
          <w:szCs w:val="22"/>
        </w:rPr>
        <w:t>stas contidas em instruções</w:t>
      </w:r>
      <w:r>
        <w:rPr>
          <w:rFonts w:ascii="Arial" w:eastAsia="Arial" w:hAnsi="Arial" w:cs="Arial"/>
          <w:sz w:val="22"/>
          <w:szCs w:val="22"/>
        </w:rPr>
        <w:t xml:space="preserve"> técnicas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serão reproduzidas nas comunicações processuais </w:t>
      </w:r>
      <w:r>
        <w:rPr>
          <w:rFonts w:ascii="Arial" w:eastAsia="Arial" w:hAnsi="Arial" w:cs="Arial"/>
          <w:sz w:val="22"/>
          <w:szCs w:val="22"/>
        </w:rPr>
        <w:t xml:space="preserve"> e nas deliberações do Tribunal, por isso devem seguir, no que couber, a padronização </w:t>
      </w:r>
      <w:hyperlink r:id="rId8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para ex</w:t>
        </w:r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pedição de conteúdo dos itens decisórios</w:t>
        </w:r>
      </w:hyperlink>
      <w:r>
        <w:rPr>
          <w:rFonts w:ascii="Arial" w:eastAsia="Arial" w:hAnsi="Arial" w:cs="Arial"/>
          <w:sz w:val="22"/>
          <w:szCs w:val="22"/>
        </w:rPr>
        <w:t>, sobretudo no caso de sugestões de determinações, recomendações e alertas.</w:t>
      </w:r>
    </w:p>
    <w:p w:rsidR="003A1851" w:rsidRDefault="003A1851">
      <w:pPr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Ao final, deve-se realizar o encaminhamento dos autos. Em geral, será ao gabinete do Conselheiro Relator (trâmite mais comum), mas deve-se </w:t>
      </w:r>
      <w:r>
        <w:rPr>
          <w:rFonts w:ascii="Arial" w:eastAsia="Arial" w:hAnsi="Arial" w:cs="Arial"/>
          <w:sz w:val="22"/>
          <w:szCs w:val="22"/>
        </w:rPr>
        <w:t>observar, no ato que determinou a manifestação da unidade técnica, se não foi estabelecido pelo outro trâmite para o processo.</w:t>
      </w:r>
    </w:p>
    <w:p w:rsidR="003A1851" w:rsidRDefault="003A1851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8613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3"/>
      </w:tblGrid>
      <w:tr w:rsidR="003A1851">
        <w:tc>
          <w:tcPr>
            <w:tcW w:w="0" w:type="auto"/>
            <w:shd w:val="clear" w:color="auto" w:fill="D9D9D9"/>
          </w:tcPr>
          <w:p w:rsidR="003A1851" w:rsidRDefault="000C74F1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Exemplo:</w:t>
            </w:r>
          </w:p>
          <w:p w:rsidR="003A1851" w:rsidRDefault="003A1851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widowControl w:val="0"/>
              <w:shd w:val="clear" w:color="auto" w:fill="D9D9D9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Diante do exposto, sugere-se ao Tribunal de Contas do Estado de Goiás que:</w:t>
            </w:r>
          </w:p>
          <w:p w:rsidR="003A1851" w:rsidRDefault="003A1851">
            <w:pPr>
              <w:widowControl w:val="0"/>
              <w:shd w:val="clear" w:color="auto" w:fill="D9D9D9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widowControl w:val="0"/>
              <w:shd w:val="clear" w:color="auto" w:fill="D9D9D9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5.1- considere acolhidas as justificativas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apresentadas pelo Sr. X, entendendo que foram capazes de extinguir a culpabilidade do citado pelas irregularidades ocorridas.</w:t>
            </w:r>
          </w:p>
          <w:p w:rsidR="003A1851" w:rsidRDefault="003A1851">
            <w:pPr>
              <w:widowControl w:val="0"/>
              <w:shd w:val="clear" w:color="auto" w:fill="D9D9D9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widowControl w:val="0"/>
              <w:shd w:val="clear" w:color="auto" w:fill="D9D9D9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5.2- Aplique à Sra. Y as sanções previstas no art. 313, II, da Resolução nº 22/2008 – RITCE, uma vez que as justificativas apres</w:t>
            </w:r>
            <w:r>
              <w:rPr>
                <w:rFonts w:ascii="Arial" w:eastAsia="Arial" w:hAnsi="Arial" w:cs="Arial"/>
                <w:sz w:val="22"/>
                <w:szCs w:val="22"/>
              </w:rPr>
              <w:t>entadas não foram capazes de elidir as irregularidades nem tampouco a sua culpabilidade pelos fatos apontados no Relatório de Inspeção;</w:t>
            </w:r>
          </w:p>
          <w:p w:rsidR="003A1851" w:rsidRDefault="003A1851">
            <w:pPr>
              <w:widowControl w:val="0"/>
              <w:shd w:val="clear" w:color="auto" w:fill="D9D9D9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3A1851" w:rsidRDefault="000C74F1">
            <w:pPr>
              <w:shd w:val="clear" w:color="auto" w:fill="D9D9D9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À consideração do Conselheiro Relator.</w:t>
            </w:r>
          </w:p>
        </w:tc>
      </w:tr>
    </w:tbl>
    <w:p w:rsidR="003A1851" w:rsidRDefault="003A1851">
      <w:pPr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3A1851">
      <w:pPr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tabs>
          <w:tab w:val="left" w:pos="1134"/>
        </w:tabs>
        <w:ind w:right="-3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3. Formatação</w:t>
      </w:r>
    </w:p>
    <w:p w:rsidR="003A1851" w:rsidRDefault="003A1851">
      <w:pPr>
        <w:tabs>
          <w:tab w:val="left" w:pos="1134"/>
        </w:tabs>
        <w:ind w:right="-30"/>
        <w:jc w:val="both"/>
        <w:rPr>
          <w:rFonts w:ascii="Arial" w:eastAsia="Arial" w:hAnsi="Arial" w:cs="Arial"/>
          <w:sz w:val="22"/>
          <w:szCs w:val="22"/>
        </w:rPr>
      </w:pPr>
    </w:p>
    <w:p w:rsidR="003A1851" w:rsidRDefault="000C74F1">
      <w:pPr>
        <w:tabs>
          <w:tab w:val="left" w:pos="1134"/>
        </w:tabs>
        <w:ind w:right="-3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Devem ser seguidas as especificações de formatação de texto, tabelas e demais normas de elaboração de documentos previstas no </w:t>
      </w:r>
      <w:hyperlink r:id="rId9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Manual de Especificação e Padronização Documental</w:t>
        </w:r>
      </w:hyperlink>
      <w:r>
        <w:rPr>
          <w:rFonts w:ascii="Arial" w:eastAsia="Arial" w:hAnsi="Arial" w:cs="Arial"/>
          <w:sz w:val="22"/>
          <w:szCs w:val="22"/>
        </w:rPr>
        <w:t>.</w:t>
      </w:r>
    </w:p>
    <w:sectPr w:rsidR="003A1851">
      <w:headerReference w:type="default" r:id="rId10"/>
      <w:pgSz w:w="11907" w:h="16839"/>
      <w:pgMar w:top="1417" w:right="1701" w:bottom="1417" w:left="1701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C74F1">
      <w:r>
        <w:separator/>
      </w:r>
    </w:p>
  </w:endnote>
  <w:endnote w:type="continuationSeparator" w:id="0">
    <w:p w:rsidR="00000000" w:rsidRDefault="000C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C74F1">
      <w:r>
        <w:separator/>
      </w:r>
    </w:p>
  </w:footnote>
  <w:footnote w:type="continuationSeparator" w:id="0">
    <w:p w:rsidR="00000000" w:rsidRDefault="000C7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851" w:rsidRDefault="003A1851">
    <w:pPr>
      <w:widowControl w:val="0"/>
      <w:spacing w:line="276" w:lineRule="auto"/>
      <w:rPr>
        <w:rFonts w:ascii="Calibri" w:eastAsia="Calibri" w:hAnsi="Calibri" w:cs="Calibri"/>
        <w:sz w:val="22"/>
        <w:szCs w:val="22"/>
      </w:rPr>
    </w:pPr>
  </w:p>
  <w:tbl>
    <w:tblPr>
      <w:tblStyle w:val="a6"/>
      <w:tblW w:w="9072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3A1851">
      <w:trPr>
        <w:trHeight w:val="855"/>
      </w:trPr>
      <w:tc>
        <w:tcPr>
          <w:tcW w:w="2881" w:type="dxa"/>
        </w:tcPr>
        <w:p w:rsidR="003A1851" w:rsidRDefault="000C74F1">
          <w:pPr>
            <w:tabs>
              <w:tab w:val="center" w:pos="4252"/>
              <w:tab w:val="right" w:pos="8504"/>
            </w:tabs>
            <w:ind w:left="-567"/>
            <w:rPr>
              <w:rFonts w:ascii="Calibri" w:eastAsia="Calibri" w:hAnsi="Calibri" w:cs="Calibri"/>
              <w:sz w:val="22"/>
              <w:szCs w:val="22"/>
            </w:rPr>
          </w:pPr>
          <w:bookmarkStart w:id="1" w:name="_heading=h.30j0zll" w:colFirst="0" w:colLast="0"/>
          <w:bookmarkEnd w:id="1"/>
          <w:r>
            <w:rPr>
              <w:rFonts w:ascii="Calibri" w:eastAsia="Calibri" w:hAnsi="Calibri" w:cs="Calibri"/>
              <w:noProof/>
              <w:sz w:val="22"/>
              <w:szCs w:val="22"/>
            </w:rPr>
            <w:drawing>
              <wp:inline distT="0" distB="0" distL="0" distR="0">
                <wp:extent cx="1319316" cy="711429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3A1851" w:rsidRDefault="000C74F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8"/>
              <w:szCs w:val="28"/>
            </w:rPr>
          </w:pPr>
          <w:r>
            <w:rPr>
              <w:rFonts w:ascii="Arial" w:eastAsia="Arial" w:hAnsi="Arial" w:cs="Arial"/>
              <w:sz w:val="28"/>
              <w:szCs w:val="28"/>
            </w:rPr>
            <w:t>Tribunal de Contas do Estado de Goiás</w:t>
          </w:r>
        </w:p>
        <w:p w:rsidR="003A1851" w:rsidRDefault="003A185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8"/>
              <w:szCs w:val="28"/>
            </w:rPr>
          </w:pPr>
        </w:p>
        <w:p w:rsidR="003A1851" w:rsidRDefault="000C74F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b/>
            </w:rPr>
            <w:t>SECRETARIA DE CONTROLE EXTERNO</w:t>
          </w:r>
        </w:p>
      </w:tc>
    </w:tr>
  </w:tbl>
  <w:p w:rsidR="003A1851" w:rsidRDefault="003A1851">
    <w:pPr>
      <w:tabs>
        <w:tab w:val="center" w:pos="4252"/>
        <w:tab w:val="right" w:pos="8504"/>
      </w:tabs>
      <w:rPr>
        <w:rFonts w:ascii="Calibri" w:eastAsia="Calibri" w:hAnsi="Calibri" w:cs="Calibri"/>
        <w:sz w:val="22"/>
        <w:szCs w:val="22"/>
      </w:rPr>
    </w:pPr>
  </w:p>
  <w:p w:rsidR="003A1851" w:rsidRDefault="003A185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3C67DC"/>
    <w:multiLevelType w:val="multilevel"/>
    <w:tmpl w:val="3A3EBB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F40024D"/>
    <w:multiLevelType w:val="multilevel"/>
    <w:tmpl w:val="09E6F7B8"/>
    <w:lvl w:ilvl="0">
      <w:start w:val="1"/>
      <w:numFmt w:val="lowerLetter"/>
      <w:pStyle w:val="Ttulo1"/>
      <w:lvlText w:val="%1)"/>
      <w:lvlJc w:val="left"/>
      <w:pPr>
        <w:ind w:left="720" w:hanging="360"/>
      </w:pPr>
    </w:lvl>
    <w:lvl w:ilvl="1">
      <w:start w:val="1"/>
      <w:numFmt w:val="lowerLetter"/>
      <w:pStyle w:val="Ttulo2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pStyle w:val="Ttulo8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851"/>
    <w:rsid w:val="000C74F1"/>
    <w:rsid w:val="003A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5DF97-0824-4B8C-AB6D-78A9C7D1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17EE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rsid w:val="00E9478D"/>
    <w:pPr>
      <w:keepNext/>
      <w:numPr>
        <w:numId w:val="1"/>
      </w:numPr>
      <w:ind w:left="0" w:right="-376"/>
      <w:outlineLvl w:val="0"/>
    </w:pPr>
    <w:rPr>
      <w:sz w:val="28"/>
      <w:lang w:eastAsia="zh-CN"/>
    </w:rPr>
  </w:style>
  <w:style w:type="paragraph" w:styleId="Ttulo2">
    <w:name w:val="heading 2"/>
    <w:basedOn w:val="Normal"/>
    <w:next w:val="Normal"/>
    <w:link w:val="Ttulo2Char"/>
    <w:qFormat/>
    <w:rsid w:val="00E9478D"/>
    <w:pPr>
      <w:keepNext/>
      <w:numPr>
        <w:ilvl w:val="1"/>
        <w:numId w:val="1"/>
      </w:numPr>
      <w:outlineLvl w:val="1"/>
    </w:pPr>
    <w:rPr>
      <w:sz w:val="28"/>
      <w:lang w:eastAsia="zh-CN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8">
    <w:name w:val="heading 8"/>
    <w:basedOn w:val="Normal"/>
    <w:next w:val="Normal"/>
    <w:link w:val="Ttulo8Char"/>
    <w:qFormat/>
    <w:rsid w:val="00E9478D"/>
    <w:pPr>
      <w:keepNext/>
      <w:numPr>
        <w:ilvl w:val="7"/>
        <w:numId w:val="1"/>
      </w:numPr>
      <w:spacing w:line="360" w:lineRule="auto"/>
      <w:ind w:left="1854"/>
      <w:jc w:val="both"/>
      <w:outlineLvl w:val="7"/>
    </w:pPr>
    <w:rPr>
      <w:rFonts w:ascii="Arial" w:hAnsi="Arial" w:cs="Arial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E9478D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E9478D"/>
  </w:style>
  <w:style w:type="paragraph" w:styleId="Rodap">
    <w:name w:val="footer"/>
    <w:basedOn w:val="Normal"/>
    <w:link w:val="RodapChar"/>
    <w:uiPriority w:val="99"/>
    <w:unhideWhenUsed/>
    <w:rsid w:val="00E9478D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9478D"/>
  </w:style>
  <w:style w:type="paragraph" w:styleId="Textodebalo">
    <w:name w:val="Balloon Text"/>
    <w:basedOn w:val="Normal"/>
    <w:link w:val="TextodebaloChar"/>
    <w:uiPriority w:val="99"/>
    <w:semiHidden/>
    <w:unhideWhenUsed/>
    <w:rsid w:val="00E9478D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478D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E9478D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E9478D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tulo8Char">
    <w:name w:val="Título 8 Char"/>
    <w:basedOn w:val="Fontepargpadro"/>
    <w:link w:val="Ttulo8"/>
    <w:rsid w:val="00E9478D"/>
    <w:rPr>
      <w:rFonts w:ascii="Arial" w:eastAsia="Times New Roman" w:hAnsi="Arial" w:cs="Arial"/>
      <w:sz w:val="20"/>
      <w:szCs w:val="20"/>
      <w:lang w:eastAsia="zh-CN"/>
    </w:rPr>
  </w:style>
  <w:style w:type="paragraph" w:styleId="PargrafodaLista">
    <w:name w:val="List Paragraph"/>
    <w:basedOn w:val="Normal"/>
    <w:uiPriority w:val="34"/>
    <w:qFormat/>
    <w:rsid w:val="005D749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estern">
    <w:name w:val="western"/>
    <w:basedOn w:val="Normal"/>
    <w:rsid w:val="00FB772A"/>
    <w:pPr>
      <w:suppressAutoHyphens w:val="0"/>
      <w:spacing w:before="100" w:beforeAutospacing="1" w:after="119"/>
    </w:pPr>
    <w:rPr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8E1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A15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E1909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E19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semiHidden/>
    <w:unhideWhenUsed/>
    <w:rsid w:val="00EE1909"/>
    <w:rPr>
      <w:vertAlign w:val="superscript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114B3"/>
    <w:pPr>
      <w:suppressAutoHyphens w:val="0"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114B3"/>
    <w:rPr>
      <w:sz w:val="20"/>
      <w:szCs w:val="20"/>
    </w:rPr>
  </w:style>
  <w:style w:type="character" w:styleId="Hyperlink">
    <w:name w:val="Hyperlink"/>
    <w:basedOn w:val="Fontepargpadro"/>
    <w:uiPriority w:val="99"/>
    <w:semiHidden/>
    <w:unhideWhenUsed/>
    <w:rsid w:val="00C64BAE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C64BAE"/>
  </w:style>
  <w:style w:type="character" w:styleId="Refdecomentrio">
    <w:name w:val="annotation reference"/>
    <w:basedOn w:val="Fontepargpadro"/>
    <w:uiPriority w:val="99"/>
    <w:semiHidden/>
    <w:unhideWhenUsed/>
    <w:rsid w:val="00466670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6670"/>
    <w:pPr>
      <w:suppressAutoHyphens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667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SemEspaamento">
    <w:name w:val="No Spacing"/>
    <w:uiPriority w:val="1"/>
    <w:qFormat/>
    <w:rsid w:val="00FF791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1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rtal.tce.go.gov.br/documents/117455/370412/Manual+de+Padroniza%C3%A7%C3%A3o+Especifica%C3%A7%C3%A3o+Documental/e25cfc00-d228-47da-be90-108915d18b9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tAeyuqfjUsH25zfFrp5m/VlorQ==">CgMxLjAyCWguMzBqMHpsbDgAciExMGotS0V4bWVWd0VPZGRwbUU4LXZseWlKNVowcE85Mks=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2024-07-09T13:00:00Z</dcterms:created>
  <dcterms:modified xsi:type="dcterms:W3CDTF">2024-07-09T13:00:00Z</dcterms:modified>
</cp:coreProperties>
</file>